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GASOC Communications Representative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main responsibility of the Communications Rep is to engage with the GASOC membership and audience, including promoting GASOC activities and events across multiple platforms. </w:t>
      </w:r>
      <w:r w:rsidDel="00000000" w:rsidR="00000000" w:rsidRPr="00000000">
        <w:rPr>
          <w:highlight w:val="white"/>
          <w:rtl w:val="0"/>
        </w:rPr>
        <w:t xml:space="preserve">The Communications Rep will work closely within the Communications team and the broader GASOC committee. It is a flexible and dynamic role requiring strong organisational skills and a creative streak. The role will involve managing social media channels, maintaining a consistent online presence and the use of graphic design tools for content creation.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  <w:highlight w:val="white"/>
        </w:rPr>
      </w:pPr>
      <w:bookmarkStart w:colFirst="0" w:colLast="0" w:name="_lin5yudst62j" w:id="0"/>
      <w:bookmarkEnd w:id="0"/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Key Responsibilities: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Social Media Management: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Share responsibilities with other team members for creating, scheduling, and posting content on </w:t>
      </w:r>
      <w:r w:rsidDel="00000000" w:rsidR="00000000" w:rsidRPr="00000000">
        <w:rPr>
          <w:b w:val="1"/>
          <w:highlight w:val="white"/>
          <w:rtl w:val="0"/>
        </w:rPr>
        <w:t xml:space="preserve">Twitter (X)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Instagram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Monitor and engage with audience interactions, ensuring timely responses to comments and messages.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Collaborate with the team to develop campaigns that align with GASOC’s mission and objectives.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Explore new platforms to </w:t>
      </w:r>
      <w:r w:rsidDel="00000000" w:rsidR="00000000" w:rsidRPr="00000000">
        <w:rPr>
          <w:highlight w:val="white"/>
          <w:rtl w:val="0"/>
        </w:rPr>
        <w:t xml:space="preserve">engage audience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Newsletter and Email Campaigns: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Assist in drafting, designing, and distributing newsletters using </w:t>
      </w:r>
      <w:r w:rsidDel="00000000" w:rsidR="00000000" w:rsidRPr="00000000">
        <w:rPr>
          <w:b w:val="1"/>
          <w:highlight w:val="white"/>
          <w:rtl w:val="0"/>
        </w:rPr>
        <w:t xml:space="preserve">Mailchimp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Maintain a regular communication schedule with subscribers, ensuring content is engaging and informative.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Proofread and ensure accuracy in all communications sent to the audience.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Content Creation: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Design and curate visual and written content that reflects GASOC’s values and initiatives.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Collaborate with the team to produce marketing materials for events and campaigns.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Ensure consistency in branding and tone across all platforms.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Audience Growth and Engagement: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 with the team to analyse metrics for social media, emails, and newsletters to refine strategies.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Contribute ideas to grow GASOC’s online presence and community engagement.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Actively seek out opportunities to share GASOC’s work with relevant audiences.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Coordination and Collaboration: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Regularly liaise with other communications representatives to divide tasks and ensure balanced workloads.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Participate in team meetings to discuss strategies, share updates, and report on progress.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Support other GASOC initiatives as needed to enhance overall outreach efforts.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Website Updates: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Ensure the GASOC website is up-to-date with relevant content, such as news articles, event updates, project information, and research outcomes.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  <w:highlight w:val="white"/>
        </w:rPr>
      </w:pPr>
      <w:bookmarkStart w:colFirst="0" w:colLast="0" w:name="_pv3hhv3x411" w:id="1"/>
      <w:bookmarkEnd w:id="1"/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Key Skills and Competencies: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Proficiency with social media platforms, including Twitter (X) and Instagram.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Familiarity with email marketing tools such as Mailchimp.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written and verbal communication skills</w:t>
      </w:r>
      <w:r w:rsidDel="00000000" w:rsidR="00000000" w:rsidRPr="00000000">
        <w:rPr>
          <w:highlight w:val="white"/>
          <w:rtl w:val="0"/>
        </w:rPr>
        <w:t xml:space="preserve"> with a strong attention to detail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Creative thinking with an eye for engaging content and visuals.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organizational skills.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Good ability to work collaboratively in a team setting.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work to deadlines. 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  <w:highlight w:val="white"/>
        </w:rPr>
      </w:pPr>
      <w:bookmarkStart w:colFirst="0" w:colLast="0" w:name="_tnj9j8tikom" w:id="2"/>
      <w:bookmarkEnd w:id="2"/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Desirable: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in web design and development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in digital marketing or communications.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Basic graphic design skills (e.g., Canva or similar tools).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Passion for global health and GASOC’s mission.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role offers an exciting opportunity to play a key part in advancing GASOC’s impact while gaining experience in digital communications and global health advocacy.</w:t>
      </w:r>
    </w:p>
    <w:p w:rsidR="00000000" w:rsidDel="00000000" w:rsidP="00000000" w:rsidRDefault="00000000" w:rsidRPr="00000000" w14:paraId="0000002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Essential: </w:t>
      </w:r>
    </w:p>
    <w:p w:rsidR="00000000" w:rsidDel="00000000" w:rsidP="00000000" w:rsidRDefault="00000000" w:rsidRPr="00000000" w14:paraId="0000002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post is open to a resident or specialty doctor from Surgery, Anaesthesia or Obstetrics and Gynaecology, or a foundation doctor with interests in these fields.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